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05a9" w14:textId="28b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2012 жылғы 21 мамырдағы № 91 қаулысы. Атырау облысының Әділет департаментінде 2012 жылғы 5 маусымда № 4-4-198 тіркелді. Күші жойылды - Исатай ауданы әкімдігінің 2013 жылғы 11 ақпандағы № 28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ауданы әкімдігінің 2013.02.11 № 28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2011 жылғы 20 желтоқсандағы № 300-IV "2012-2014 жылдарға арналған аудандық бюджет туралы" шешіміне сәйкес,аудан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 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 әскери қызметшілердің қайталап некеге отырмаған зайыптарына (жұбайларына);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жаттығу жиындарына шақырылып, ұрыс қимылдары жүріп жатқан кезде Ауғанстанға жіберілген әскери міндеттілерге;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1 қаңтарынан туындайтын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Б.Қ. Қарабаев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