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7144" w14:textId="f3c7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Сарыкемер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Бәйтерек ауылдық округі әкімінің 2018 жылғы 11 маусымдағы № 44 шешімі. Жамбыл облысы Әділет департаментінде 2018 жылғы 2 шілдеде № 3880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 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08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2017 жылғы 24 қарашадағы қорытындысы негізінде және тиісті аумақ халқының пікірін ескере отырып, ауылдық округ әкімі 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Бәйтерек ауылдық округінің Сарыкемер ауылының көше атаулары өзгертілсін: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Подгорная көшесі Көлқайнар көшесіне;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Дружба көшесі Достық көшесіне;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Интернациональная көшесі Тәуелсіздік көшесіне;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Новоселов көшесі Жаңақоныс көшесіне;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Луговая көшесі Ақыртас көшесіне;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Вишневая көшесі Қызылқайнар көшесіне;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Яблоневая көшесі Ақдала көшесіне;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1-Виноградная көшесі Есқара көшесіне;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2-Виноградная көшесі Тастөбе көшесіне;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Звездная көшесінің 1-бұрылысы Арбатас көшесіне;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Звездная көшесінің 3-бұрылысы Тараз көшесіне.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орындалуын бақылау Бәйтерек ауылдық округі әкімінің орынбасары Жуманов Куаныш Жетписбаевичке жүктелсін.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