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6ad9" w14:textId="cda6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"Бейнеу-Бозой-Шымкент" магистральдық газ құбырының күзет аймағы шекарасын белгілеу және жерді пайдалану режимін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31 қазандағы № 232 қаулысы. Маңғыстау облысы Әділет департаментінде 2019 жылғы 6 қарашада № 4012 болып тіркелді. Күші жойылды-Маңғыстау облысы әкімдігінің 2022 жылғы 8 маусымдағы № 87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08.06.2022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2012 жылғы 22 маусымдағы </w:t>
      </w:r>
      <w:r>
        <w:rPr>
          <w:rFonts w:ascii="Times New Roman"/>
          <w:b w:val="false"/>
          <w:i w:val="false"/>
          <w:color w:val="000000"/>
          <w:sz w:val="28"/>
        </w:rPr>
        <w:t>"Магистральдық құбыр туралы"</w:t>
      </w:r>
      <w:r>
        <w:rPr>
          <w:rFonts w:ascii="Times New Roman"/>
          <w:b w:val="false"/>
          <w:i w:val="false"/>
          <w:color w:val="000000"/>
          <w:sz w:val="28"/>
        </w:rPr>
        <w:t xml:space="preserve"> зандарына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Халықтың қауіпсіздігін қамтамасыз ету, қоршаған ортаға зиян келтіруді болдырмау және "Бейнеу-Бозой-Шымкент" магистральдық газ құбырын қауіпсіз пайдалану үшін жағдайлар жасау мақсатында меншік иелері мен жер пайдаланушылардан жер учаскелерін алып қоймай-ақ,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газ құбыры осінің әрбір жағынан елу метрден, ауыл шаруашылығы мақсатындағы жерлерде ғаз құбыры осінің әрбір жағынан жиырма бес метрден күзет аймағының шекарасы белгіленсін.</w:t>
      </w:r>
    </w:p>
    <w:bookmarkEnd w:id="1"/>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"Бейнеу-Бозой-Шымкент" магистральдық газ құбырының күзет аймағындағы жерді пайдалану режимі айқындалсын.</w:t>
      </w:r>
    </w:p>
    <w:bookmarkEnd w:id="2"/>
    <w:bookmarkStart w:name="z3" w:id="3"/>
    <w:p>
      <w:pPr>
        <w:spacing w:after="0"/>
        <w:ind w:left="0"/>
        <w:jc w:val="both"/>
      </w:pPr>
      <w:r>
        <w:rPr>
          <w:rFonts w:ascii="Times New Roman"/>
          <w:b w:val="false"/>
          <w:i w:val="false"/>
          <w:color w:val="000000"/>
          <w:sz w:val="28"/>
        </w:rPr>
        <w:t>
      3. Халықтың қауіпсіздігін қамтамасыз ету мақсатында Бейнеу ауданының әкіміне құрылыс нормалары мен қағидаларында белгіленген ең аз қашықтық шегінде магистральдық құбырға жатпайтын нысандарды салу үшін жер учаскелерін беруге тыйым салынсын.</w:t>
      </w:r>
    </w:p>
    <w:bookmarkEnd w:id="3"/>
    <w:bookmarkStart w:name="z4" w:id="4"/>
    <w:p>
      <w:pPr>
        <w:spacing w:after="0"/>
        <w:ind w:left="0"/>
        <w:jc w:val="both"/>
      </w:pPr>
      <w:r>
        <w:rPr>
          <w:rFonts w:ascii="Times New Roman"/>
          <w:b w:val="false"/>
          <w:i w:val="false"/>
          <w:color w:val="000000"/>
          <w:sz w:val="28"/>
        </w:rPr>
        <w:t>
      4. "Маңғыстау облысының жер қатынастары басқармасы" мемлекеттік мекемесі (Е.Д. Дүзмағамбетов) осы қаулының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Маңғыстау облысы әкімінің орынбасары Б.А. Қашақовқа жүктелсін.</w:t>
      </w:r>
    </w:p>
    <w:bookmarkEnd w:id="5"/>
    <w:bookmarkStart w:name="z6"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қаулысына 1-қосымша</w:t>
            </w:r>
          </w:p>
        </w:tc>
      </w:tr>
    </w:tbl>
    <w:p>
      <w:pPr>
        <w:spacing w:after="0"/>
        <w:ind w:left="0"/>
        <w:jc w:val="left"/>
      </w:pPr>
      <w:r>
        <w:rPr>
          <w:rFonts w:ascii="Times New Roman"/>
          <w:b/>
          <w:i w:val="false"/>
          <w:color w:val="000000"/>
        </w:rPr>
        <w:t xml:space="preserve"> "Бейнеу-Бозой-Шымкент" магистральдық газ құбырының күзет аймағына кіретін  жерлер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дық газ құбыры</w:t>
            </w:r>
          </w:p>
          <w:p>
            <w:pPr>
              <w:spacing w:after="20"/>
              <w:ind w:left="20"/>
              <w:jc w:val="both"/>
            </w:pPr>
            <w:r>
              <w:rPr>
                <w:rFonts w:ascii="Times New Roman"/>
                <w:b w:val="false"/>
                <w:i w:val="false"/>
                <w:color w:val="000000"/>
                <w:sz w:val="20"/>
              </w:rPr>
              <w:t>
ның күзет аймағы</w:t>
            </w:r>
          </w:p>
          <w:p>
            <w:pPr>
              <w:spacing w:after="20"/>
              <w:ind w:left="20"/>
              <w:jc w:val="both"/>
            </w:pPr>
            <w:r>
              <w:rPr>
                <w:rFonts w:ascii="Times New Roman"/>
                <w:b w:val="false"/>
                <w:i w:val="false"/>
                <w:color w:val="000000"/>
                <w:sz w:val="20"/>
              </w:rPr>
              <w:t>
ның көлемі,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w:t>
            </w:r>
          </w:p>
          <w:p>
            <w:pPr>
              <w:spacing w:after="20"/>
              <w:ind w:left="20"/>
              <w:jc w:val="both"/>
            </w:pPr>
            <w:r>
              <w:rPr>
                <w:rFonts w:ascii="Times New Roman"/>
                <w:b w:val="false"/>
                <w:i w:val="false"/>
                <w:color w:val="000000"/>
                <w:sz w:val="20"/>
              </w:rPr>
              <w:t>
лығы алқаптары</w:t>
            </w:r>
          </w:p>
          <w:p>
            <w:pPr>
              <w:spacing w:after="20"/>
              <w:ind w:left="20"/>
              <w:jc w:val="both"/>
            </w:pPr>
            <w:r>
              <w:rPr>
                <w:rFonts w:ascii="Times New Roman"/>
                <w:b w:val="false"/>
                <w:i w:val="false"/>
                <w:color w:val="000000"/>
                <w:sz w:val="20"/>
              </w:rPr>
              <w:t>
ның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алқаптар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егістік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w:t>
            </w:r>
          </w:p>
          <w:p>
            <w:pPr>
              <w:spacing w:after="20"/>
              <w:ind w:left="20"/>
              <w:jc w:val="both"/>
            </w:pPr>
            <w:r>
              <w:rPr>
                <w:rFonts w:ascii="Times New Roman"/>
                <w:b w:val="false"/>
                <w:i w:val="false"/>
                <w:color w:val="000000"/>
                <w:sz w:val="20"/>
              </w:rPr>
              <w:t>
дық екпе</w:t>
            </w:r>
          </w:p>
          <w:p>
            <w:pPr>
              <w:spacing w:after="20"/>
              <w:ind w:left="20"/>
              <w:jc w:val="both"/>
            </w:pPr>
            <w:r>
              <w:rPr>
                <w:rFonts w:ascii="Times New Roman"/>
                <w:b w:val="false"/>
                <w:i w:val="false"/>
                <w:color w:val="000000"/>
                <w:sz w:val="20"/>
              </w:rPr>
              <w:t>
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w:t>
            </w:r>
          </w:p>
          <w:p>
            <w:pPr>
              <w:spacing w:after="20"/>
              <w:ind w:left="20"/>
              <w:jc w:val="both"/>
            </w:pPr>
            <w:r>
              <w:rPr>
                <w:rFonts w:ascii="Times New Roman"/>
                <w:b w:val="false"/>
                <w:i w:val="false"/>
                <w:color w:val="000000"/>
                <w:sz w:val="20"/>
              </w:rPr>
              <w:t>
бындық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w:t>
            </w:r>
          </w:p>
          <w:p>
            <w:pPr>
              <w:spacing w:after="20"/>
              <w:ind w:left="20"/>
              <w:jc w:val="both"/>
            </w:pPr>
            <w:r>
              <w:rPr>
                <w:rFonts w:ascii="Times New Roman"/>
                <w:b w:val="false"/>
                <w:i w:val="false"/>
                <w:color w:val="000000"/>
                <w:sz w:val="20"/>
              </w:rPr>
              <w:t>
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w:t>
            </w:r>
          </w:p>
          <w:p>
            <w:pPr>
              <w:spacing w:after="20"/>
              <w:ind w:left="20"/>
              <w:jc w:val="both"/>
            </w:pPr>
            <w:r>
              <w:rPr>
                <w:rFonts w:ascii="Times New Roman"/>
                <w:b w:val="false"/>
                <w:i w:val="false"/>
                <w:color w:val="000000"/>
                <w:sz w:val="20"/>
              </w:rPr>
              <w:t>
дағы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дердің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w:t>
            </w:r>
          </w:p>
          <w:p>
            <w:pPr>
              <w:spacing w:after="20"/>
              <w:ind w:left="20"/>
              <w:jc w:val="both"/>
            </w:pPr>
            <w:r>
              <w:rPr>
                <w:rFonts w:ascii="Times New Roman"/>
                <w:b w:val="false"/>
                <w:i w:val="false"/>
                <w:color w:val="000000"/>
                <w:sz w:val="20"/>
              </w:rPr>
              <w:t>
лығына арналмаған өзге де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қаулысына 2-қосымша</w:t>
            </w:r>
          </w:p>
        </w:tc>
      </w:tr>
    </w:tbl>
    <w:p>
      <w:pPr>
        <w:spacing w:after="0"/>
        <w:ind w:left="0"/>
        <w:jc w:val="left"/>
      </w:pPr>
      <w:r>
        <w:rPr>
          <w:rFonts w:ascii="Times New Roman"/>
          <w:b/>
          <w:i w:val="false"/>
          <w:color w:val="000000"/>
        </w:rPr>
        <w:t xml:space="preserve"> "Бейнеу-Бозой-Шымкент" магистральдық газ құбырының күзет аймағындағы жерді пайдалану режимі</w:t>
      </w:r>
    </w:p>
    <w:bookmarkStart w:name="z13" w:id="7"/>
    <w:p>
      <w:pPr>
        <w:spacing w:after="0"/>
        <w:ind w:left="0"/>
        <w:jc w:val="both"/>
      </w:pPr>
      <w:r>
        <w:rPr>
          <w:rFonts w:ascii="Times New Roman"/>
          <w:b w:val="false"/>
          <w:i w:val="false"/>
          <w:color w:val="000000"/>
          <w:sz w:val="28"/>
        </w:rPr>
        <w:t>
      Магистральдық газ құбырының күзет аймағында:</w:t>
      </w:r>
    </w:p>
    <w:bookmarkEnd w:id="7"/>
    <w:bookmarkStart w:name="z14" w:id="8"/>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8"/>
    <w:bookmarkStart w:name="z15" w:id="9"/>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9"/>
    <w:bookmarkStart w:name="z16" w:id="10"/>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10"/>
    <w:bookmarkStart w:name="z17" w:id="11"/>
    <w:p>
      <w:pPr>
        <w:spacing w:after="0"/>
        <w:ind w:left="0"/>
        <w:jc w:val="both"/>
      </w:pPr>
      <w:r>
        <w:rPr>
          <w:rFonts w:ascii="Times New Roman"/>
          <w:b w:val="false"/>
          <w:i w:val="false"/>
          <w:color w:val="000000"/>
          <w:sz w:val="28"/>
        </w:rPr>
        <w:t>
      4) кез келген құрылыстар мен ғимараттар салуға;</w:t>
      </w:r>
    </w:p>
    <w:bookmarkEnd w:id="11"/>
    <w:bookmarkStart w:name="z18" w:id="12"/>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2"/>
    <w:bookmarkStart w:name="z19" w:id="13"/>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3"/>
    <w:bookmarkStart w:name="z20" w:id="14"/>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4"/>
    <w:bookmarkStart w:name="z21" w:id="15"/>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