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c106a" w14:textId="2fc10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 атауын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ауданы Жаңақоғам ауылдық округі әкімінің 2020 жылғы 5 қазандағы № 28 шешімі. Жамбыл облысының Әділет департаментінде 2020 жылғы 8 қазанда № 4754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қаңтарындағы Занының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желтоқсанындағы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ономастика комиссиясының 2019 жылғы 27 желтоқсанындағы қорытындысы негізінде және тиісті аумақ халқының пікірін ескере отырып, Жаңақоғам ауылдық округінің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Жаңақоғам ауылдық округінің Көктөбе ауылындағы көшелерге атау берілсін: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1 Жаңа көшеге - Қайрат Рысқұлбеков;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2 Жаңа көшеге - Қажымұқан Мұңайтпасов;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Жаңақоғам ауылдық округі әкімі аппаратының бас маманы Асылбеков Сатыбалды Тілемісұлына жүктелсін.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органдарына мемлекеттік тіркелген күннен бастап күшіне енеді және оның алғаш ресми жарияланған күннен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Қондыбаева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