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aa9e" w14:textId="5fca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49/12 "2020-2022 жылдарға арналған Қызылжар ауданының Куйбышев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10 ақпандағы № 50/13 шешімі. Солтүстік Қазақстан облысының Әділет департаментінде 2020 жылғы 13 ақпанда № 6008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2020 жылғы 6 қаңтардағы № 49/12 "2020-2022 жылдарға арналған Қызылжар ауданының Куйбышев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5870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Қызылжар ауданының Куйбышев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69 590,6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61 089,6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70 045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- 454,4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454,4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454,4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Солтістүк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10 ақпаны № 50/13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49/12 Солтүстік Қазақстан облысы Қызылжар аудандық мәслихатының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Куйбышев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69 590,6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61 089,6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61 089,6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