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2820" w14:textId="adf2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24 қазандағы № 463-VI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2020 жылғы 11 мамырдағы № 511-VI шешімі. Атырау облысының Әділет департаментінде 2020 жылғы 25 мамырда № 4654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2019 жылғы 24 қазандағы № 463-VI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4518 санымен тіркелген, 2019 жылғы 7 қарашада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бойынша әлеуметтік қолдау көрсету қағидасы мен мөлшерінің:</w:t>
      </w:r>
    </w:p>
    <w:bookmarkEnd w:id="2"/>
    <w:bookmarkStart w:name="z7" w:id="3"/>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Куаншалиев)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Хашуова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