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c081" w14:textId="570c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 шiлдедегi № ҚР ДСМ-57 бұйрығы. Қазақстан Республикасының Әділет министрлігінде 2021 жылғы 3 шiлдеде № 23291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 қағидалары" Қазақстан Республикасы Денсаулық сақтау министрінің 2021 жылғы 26 мамырдағы № ҚР ДСМ-45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 қағидаларында:</w:t>
      </w:r>
    </w:p>
    <w:bookmarkEnd w:id="2"/>
    <w:bookmarkStart w:name="z4" w:id="3"/>
    <w:p>
      <w:pPr>
        <w:spacing w:after="0"/>
        <w:ind w:left="0"/>
        <w:jc w:val="both"/>
      </w:pPr>
      <w:r>
        <w:rPr>
          <w:rFonts w:ascii="Times New Roman"/>
          <w:b w:val="false"/>
          <w:i w:val="false"/>
          <w:color w:val="000000"/>
          <w:sz w:val="28"/>
        </w:rPr>
        <w:t xml:space="preserve">
      көрсетілген Қағидаларға 3-қосымшамен бекітілген Қазақстан Республикасының азаматтары шетелге емделуге жіберілетін аурулардың </w:t>
      </w:r>
      <w:r>
        <w:rPr>
          <w:rFonts w:ascii="Times New Roman"/>
          <w:b w:val="false"/>
          <w:i w:val="false"/>
          <w:color w:val="000000"/>
          <w:sz w:val="28"/>
        </w:rPr>
        <w:t>тізбесі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9-тармақпен толықтырылсын:</w:t>
      </w:r>
    </w:p>
    <w:bookmarkEnd w:id="4"/>
    <w:bookmarkStart w:name="z6" w:id="5"/>
    <w:p>
      <w:pPr>
        <w:spacing w:after="0"/>
        <w:ind w:left="0"/>
        <w:jc w:val="both"/>
      </w:pPr>
      <w:r>
        <w:rPr>
          <w:rFonts w:ascii="Times New Roman"/>
          <w:b w:val="false"/>
          <w:i w:val="false"/>
          <w:color w:val="000000"/>
          <w:sz w:val="28"/>
        </w:rPr>
        <w:t xml:space="preserve">
      "9. Lu (лютеций) 177 изотопымен радионуклидтік терапиямен нейроэндокриндік ісіктер". </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