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ae10" w14:textId="850a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Жоғары Сот Кеңесінің және "Астана" халықаралық қаржы орталығының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13 наурыздағы № 53-VІ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39-2-бапта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3) тармақшасындағы</w:t>
      </w:r>
      <w:r>
        <w:rPr>
          <w:rFonts w:ascii="Times New Roman"/>
          <w:b w:val="false"/>
          <w:i w:val="false"/>
          <w:color w:val="000000"/>
          <w:sz w:val="28"/>
        </w:rPr>
        <w:t xml:space="preserve"> "ұйымға төленетін өтеусіз және қайтарымсыз төлемдер нысаналы аударым болып табылады." деген сөздер "ұйымға;" деген сөзбен ауыстырылып, мынадай мазмұндағы 4) тармақшамен толықтырылсын:</w:t>
      </w:r>
    </w:p>
    <w:bookmarkEnd w:id="2"/>
    <w:bookmarkStart w:name="z5" w:id="3"/>
    <w:p>
      <w:pPr>
        <w:spacing w:after="0"/>
        <w:ind w:left="0"/>
        <w:jc w:val="both"/>
      </w:pPr>
      <w:r>
        <w:rPr>
          <w:rFonts w:ascii="Times New Roman"/>
          <w:b w:val="false"/>
          <w:i w:val="false"/>
          <w:color w:val="000000"/>
          <w:sz w:val="28"/>
        </w:rPr>
        <w:t>
      "4)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төленетін өтеусіз және қайтарымсыз төлемдер нысаналы аударым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"бюджеттік бағдарламалардың тиісті әкімшілерінің стратегиялық жоспарларында және (немесе) бюджеттік бағдарламаларында айқындалған, өздерінің қызметіне нысаналы аударым нәтижелерінің көрсеткіштеріне қол жеткізу үшін дербес кластерлік қор" деген сөздер ", дербес кластерлік қор, сондай-ақ халықаралық қаржы орталығының органдары мен олардың ұйымдарының, сондай-ақ қатысушыларының қызметі үшін жағдайларды қамтамасыз ететін ұйым бюджеттік бағдарламалардың тиісті әкімшілерінің стратегиялық жоспарларында және (немесе) бюджеттік бағдарламаларында айқындалған, өздерінің қызметіне нысаналы аударым нәтижелерінің көрсеткіштеріне қол жеткізу үшін" деген сөздермен ауыстырылсын;</w:t>
      </w:r>
    </w:p>
    <w:bookmarkStart w:name="z7" w:id="4"/>
    <w:p>
      <w:pPr>
        <w:spacing w:after="0"/>
        <w:ind w:left="0"/>
        <w:jc w:val="both"/>
      </w:pPr>
      <w:r>
        <w:rPr>
          <w:rFonts w:ascii="Times New Roman"/>
          <w:b w:val="false"/>
          <w:i w:val="false"/>
          <w:color w:val="000000"/>
          <w:sz w:val="28"/>
        </w:rPr>
        <w:t xml:space="preserve">
      2) 67-баптың </w:t>
      </w:r>
      <w:r>
        <w:rPr>
          <w:rFonts w:ascii="Times New Roman"/>
          <w:b w:val="false"/>
          <w:i w:val="false"/>
          <w:color w:val="000000"/>
          <w:sz w:val="28"/>
        </w:rPr>
        <w:t>12-1-тармағының</w:t>
      </w:r>
      <w:r>
        <w:rPr>
          <w:rFonts w:ascii="Times New Roman"/>
          <w:b w:val="false"/>
          <w:i w:val="false"/>
          <w:color w:val="000000"/>
          <w:sz w:val="28"/>
        </w:rPr>
        <w:t xml:space="preserve"> үшінші бөлігіндегі "Қазақстан Республикасының аумағында халықаралық мамандандырылған көрмені ұйымдастыру және өткізу жөніндегі қызметті жүзеге асыратын дербес кластерлік қордың, ұйымдардың" деген сөздер "дербес кластерлік қордың, Қазақстан Республикасының аумағында халықаралық мамандандырылған көрмені ұйымдастыру және өткізу жөніндегі қызметті жүзеге асыратын ұйымдардың, халықаралық қаржы орталығының органдары мен олардың ұйымдарының, сондай-ақ қатысушыларының қызметі үшін жағдайларды қамтамасыз ететін ұйымның" деген сөздермен ауыстырылсын.</w:t>
      </w:r>
    </w:p>
    <w:bookmarkEnd w:id="4"/>
    <w:bookmarkStart w:name="z8" w:id="5"/>
    <w:p>
      <w:pPr>
        <w:spacing w:after="0"/>
        <w:ind w:left="0"/>
        <w:jc w:val="both"/>
      </w:pPr>
      <w:r>
        <w:rPr>
          <w:rFonts w:ascii="Times New Roman"/>
          <w:b w:val="false"/>
          <w:i w:val="false"/>
          <w:color w:val="000000"/>
          <w:sz w:val="28"/>
        </w:rPr>
        <w:t xml:space="preserve">
      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37-1) тармақшасы алып тасталсын;</w:t>
      </w:r>
    </w:p>
    <w:bookmarkEnd w:id="6"/>
    <w:bookmarkStart w:name="z10" w:id="7"/>
    <w:p>
      <w:pPr>
        <w:spacing w:after="0"/>
        <w:ind w:left="0"/>
        <w:jc w:val="both"/>
      </w:pPr>
      <w:r>
        <w:rPr>
          <w:rFonts w:ascii="Times New Roman"/>
          <w:b w:val="false"/>
          <w:i w:val="false"/>
          <w:color w:val="000000"/>
          <w:sz w:val="28"/>
        </w:rPr>
        <w:t xml:space="preserve">
      2) 15-баптың екінші бөлігінің </w:t>
      </w:r>
      <w:r>
        <w:rPr>
          <w:rFonts w:ascii="Times New Roman"/>
          <w:b w:val="false"/>
          <w:i w:val="false"/>
          <w:color w:val="000000"/>
          <w:sz w:val="28"/>
        </w:rPr>
        <w:t>87) тармақшасы</w:t>
      </w:r>
      <w:r>
        <w:rPr>
          <w:rFonts w:ascii="Times New Roman"/>
          <w:b w:val="false"/>
          <w:i w:val="false"/>
          <w:color w:val="000000"/>
          <w:sz w:val="28"/>
        </w:rPr>
        <w:t xml:space="preserve"> алып тасталсын.</w:t>
      </w:r>
    </w:p>
    <w:bookmarkEnd w:id="7"/>
    <w:bookmarkStart w:name="z11" w:id="8"/>
    <w:p>
      <w:pPr>
        <w:spacing w:after="0"/>
        <w:ind w:left="0"/>
        <w:jc w:val="both"/>
      </w:pPr>
      <w:r>
        <w:rPr>
          <w:rFonts w:ascii="Times New Roman"/>
          <w:b w:val="false"/>
          <w:i w:val="false"/>
          <w:color w:val="000000"/>
          <w:sz w:val="28"/>
        </w:rPr>
        <w:t xml:space="preserve">
      3.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173-құжат; 2016 ж., № 7-I, 50-құжат):</w:t>
      </w:r>
    </w:p>
    <w:bookmarkEnd w:id="8"/>
    <w:bookmarkStart w:name="z12" w:id="9"/>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w:t>
      </w:r>
    </w:p>
    <w:bookmarkEnd w:id="9"/>
    <w:bookmarkStart w:name="z13" w:id="10"/>
    <w:p>
      <w:pPr>
        <w:spacing w:after="0"/>
        <w:ind w:left="0"/>
        <w:jc w:val="both"/>
      </w:pPr>
      <w:r>
        <w:rPr>
          <w:rFonts w:ascii="Times New Roman"/>
          <w:b w:val="false"/>
          <w:i w:val="false"/>
          <w:color w:val="000000"/>
          <w:sz w:val="28"/>
        </w:rPr>
        <w:t>
      екінші, үшінші, төртінші және бесінші абзацтар мынадай редакцияда жазылсын:</w:t>
      </w:r>
    </w:p>
    <w:bookmarkEnd w:id="10"/>
    <w:bookmarkStart w:name="z14" w:id="11"/>
    <w:p>
      <w:pPr>
        <w:spacing w:after="0"/>
        <w:ind w:left="0"/>
        <w:jc w:val="both"/>
      </w:pPr>
      <w:r>
        <w:rPr>
          <w:rFonts w:ascii="Times New Roman"/>
          <w:b w:val="false"/>
          <w:i w:val="false"/>
          <w:color w:val="000000"/>
          <w:sz w:val="28"/>
        </w:rPr>
        <w:t xml:space="preserve">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судья басқа сотқа, басқа мамандануға ауысудан бас тартса, оларды атқаратын лауазымдарынан босату мәселелерін қарайды;</w:t>
      </w:r>
    </w:p>
    <w:bookmarkEnd w:id="11"/>
    <w:p>
      <w:pPr>
        <w:spacing w:after="0"/>
        <w:ind w:left="0"/>
        <w:jc w:val="both"/>
      </w:pPr>
      <w:r>
        <w:rPr>
          <w:rFonts w:ascii="Times New Roman"/>
          <w:b w:val="false"/>
          <w:i w:val="false"/>
          <w:color w:val="000000"/>
          <w:sz w:val="28"/>
        </w:rPr>
        <w:t xml:space="preserve">
      сот қайта ұйымдастырылған, таратылған, өкілеттіктер мерзімі өткен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сот төрағасы, сот алқасының төрағасы басқа сотқа, басқа мамандануға ауысудан бас тартса, оларды атқаратын лауазымдарынан босату мәселелерін қарайды;</w:t>
      </w:r>
    </w:p>
    <w:p>
      <w:pPr>
        <w:spacing w:after="0"/>
        <w:ind w:left="0"/>
        <w:jc w:val="both"/>
      </w:pPr>
      <w:r>
        <w:rPr>
          <w:rFonts w:ascii="Times New Roman"/>
          <w:b w:val="false"/>
          <w:i w:val="false"/>
          <w:color w:val="000000"/>
          <w:sz w:val="28"/>
        </w:rPr>
        <w:t xml:space="preserve">
      Жоғарғы Сот судьяларының саны азайтылған жағдайда, егер Жоғарғы Соттың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Жоғарғы Соттың судьясы басқа сотқа, басқа мамандануға ауысудан бас тартса, оларды атқаратын лауазымдарынан босату мәселелерін қарайды;</w:t>
      </w:r>
    </w:p>
    <w:p>
      <w:pPr>
        <w:spacing w:after="0"/>
        <w:ind w:left="0"/>
        <w:jc w:val="both"/>
      </w:pPr>
      <w:r>
        <w:rPr>
          <w:rFonts w:ascii="Times New Roman"/>
          <w:b w:val="false"/>
          <w:i w:val="false"/>
          <w:color w:val="000000"/>
          <w:sz w:val="28"/>
        </w:rPr>
        <w:t xml:space="preserve">
      өкілеттіктер мерзімі өткен жағдайларда, егер Жоғарғы Соттың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Жоғарғы Соттың сот алқасының төрағасы басқа сотқа, басқа мамандануға ауысудан бас тартса, оларды атқаратын лауазымдарынан босату мәселелерін қарайды;";</w:t>
      </w:r>
    </w:p>
    <w:bookmarkStart w:name="z15" w:id="12"/>
    <w:p>
      <w:pPr>
        <w:spacing w:after="0"/>
        <w:ind w:left="0"/>
        <w:jc w:val="both"/>
      </w:pPr>
      <w:r>
        <w:rPr>
          <w:rFonts w:ascii="Times New Roman"/>
          <w:b w:val="false"/>
          <w:i w:val="false"/>
          <w:color w:val="000000"/>
          <w:sz w:val="28"/>
        </w:rPr>
        <w:t>
      жетінші абзац алып тасталсын;</w:t>
      </w:r>
    </w:p>
    <w:bookmarkEnd w:id="12"/>
    <w:bookmarkStart w:name="z1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bookmarkStart w:name="z18" w:id="14"/>
    <w:p>
      <w:pPr>
        <w:spacing w:after="0"/>
        <w:ind w:left="0"/>
        <w:jc w:val="both"/>
      </w:pPr>
      <w:r>
        <w:rPr>
          <w:rFonts w:ascii="Times New Roman"/>
          <w:b w:val="false"/>
          <w:i w:val="false"/>
          <w:color w:val="000000"/>
          <w:sz w:val="28"/>
        </w:rPr>
        <w:t>
      "Тиісті облыстық соттың немесе Жоғарғы Соттың жалпы отырысының қорытындысы ұсынымдық сипатта болады және оны кандидат Кеңеске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0" w:id="15"/>
    <w:p>
      <w:pPr>
        <w:spacing w:after="0"/>
        <w:ind w:left="0"/>
        <w:jc w:val="both"/>
      </w:pPr>
      <w:r>
        <w:rPr>
          <w:rFonts w:ascii="Times New Roman"/>
          <w:b w:val="false"/>
          <w:i w:val="false"/>
          <w:color w:val="000000"/>
          <w:sz w:val="28"/>
        </w:rPr>
        <w:t>
      "Жоғарғы Соттың жалпы отырысының қорытындысы ұсынымдық сипатта болады және оны кандидат Кеңеске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"4. Аудандық сот төрағасы мен судьясының лауазымына конкурсқа қатысушылар құжаттарын Кеңеске тапсырғаннан кейін тұрғылықты жері немесе жұмыс орны бойынша Соттармен өзара іс-қимыл жөніндегі кеңестің және облыстық соттың жалпы отырысының қорытындыларын алуға тиіс.</w:t>
      </w:r>
    </w:p>
    <w:bookmarkEnd w:id="16"/>
    <w:p>
      <w:pPr>
        <w:spacing w:after="0"/>
        <w:ind w:left="0"/>
        <w:jc w:val="both"/>
      </w:pPr>
      <w:r>
        <w:rPr>
          <w:rFonts w:ascii="Times New Roman"/>
          <w:b w:val="false"/>
          <w:i w:val="false"/>
          <w:color w:val="000000"/>
          <w:sz w:val="28"/>
        </w:rPr>
        <w:t>
      Облыстық сот судьясының лауазымына конкурсқа қатысушылар құжаттарын Кеңеске тапсырғаннан кейін тұрғылықты жері немесе жұмыс орны бойынша Соттармен өзара іс-қимыл жөніндегі кеңестің және облыстық соттың жалпы отырысының қорытындыларын алуға тиіс.</w:t>
      </w:r>
    </w:p>
    <w:p>
      <w:pPr>
        <w:spacing w:after="0"/>
        <w:ind w:left="0"/>
        <w:jc w:val="both"/>
      </w:pPr>
      <w:r>
        <w:rPr>
          <w:rFonts w:ascii="Times New Roman"/>
          <w:b w:val="false"/>
          <w:i w:val="false"/>
          <w:color w:val="000000"/>
          <w:sz w:val="28"/>
        </w:rPr>
        <w:t>
      Егер облыстық сот судьясының лауазымына қонкурсқа қатысушылар өздері судья лауазымына үміттеніп отырған сот орналасқан өңірде жұмыс істейтін немесе тұратын жағдайда, облыстық соттың жалпы отырысының қорытындысын қайтадан алу талап етілмейді.</w:t>
      </w:r>
    </w:p>
    <w:p>
      <w:pPr>
        <w:spacing w:after="0"/>
        <w:ind w:left="0"/>
        <w:jc w:val="both"/>
      </w:pPr>
      <w:r>
        <w:rPr>
          <w:rFonts w:ascii="Times New Roman"/>
          <w:b w:val="false"/>
          <w:i w:val="false"/>
          <w:color w:val="000000"/>
          <w:sz w:val="28"/>
        </w:rPr>
        <w:t>
      Соттармен өзара іс-қимыл жөніндегі кеңестің және облыстық соттың жалпы отырысының қорытындылары ұсынымдық сипатта болады.</w:t>
      </w:r>
    </w:p>
    <w:p>
      <w:pPr>
        <w:spacing w:after="0"/>
        <w:ind w:left="0"/>
        <w:jc w:val="both"/>
      </w:pPr>
      <w:r>
        <w:rPr>
          <w:rFonts w:ascii="Times New Roman"/>
          <w:b w:val="false"/>
          <w:i w:val="false"/>
          <w:color w:val="000000"/>
          <w:sz w:val="28"/>
        </w:rPr>
        <w:t>
      Жоғарғы Сот судьясының лауазымына конкурсқа қатысушылар құжаттарын Кеңеске тапсырғаннан кейін тұрғылықты жері немесе жұмыс орны бойынша Соттармен өзара іс-қимыл жөніндегі кеңестің де қорытындысын алуға тиіс. Соттармен өзара іс-қимыл жөніндегі кеңестің қорытындысы ұсынымдық сипатта болады.".</w:t>
      </w:r>
    </w:p>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w:t>
      </w:r>
      <w:r>
        <w:rPr>
          <w:rFonts w:ascii="Times New Roman"/>
          <w:b/>
          <w:i w:val="false"/>
          <w:color w:val="000000"/>
          <w:sz w:val="28"/>
        </w:rPr>
        <w:t>Заң</w:t>
      </w:r>
      <w:r>
        <w:rPr>
          <w:rFonts w:ascii="Times New Roman"/>
          <w:b/>
          <w:i w:val="false"/>
          <w:color w:val="000000"/>
          <w:sz w:val="28"/>
        </w:rPr>
        <w:t xml:space="preserve"> </w:t>
      </w:r>
      <w:r>
        <w:rPr>
          <w:rFonts w:ascii="Times New Roman"/>
          <w:b/>
          <w:i w:val="false"/>
          <w:color w:val="000000"/>
          <w:sz w:val="28"/>
        </w:rPr>
        <w:t>алғашқы</w:t>
      </w:r>
      <w:r>
        <w:rPr>
          <w:rFonts w:ascii="Times New Roman"/>
          <w:b/>
          <w:i w:val="false"/>
          <w:color w:val="000000"/>
          <w:sz w:val="28"/>
        </w:rPr>
        <w:t xml:space="preserve"> </w:t>
      </w:r>
      <w:r>
        <w:rPr>
          <w:rFonts w:ascii="Times New Roman"/>
          <w:b/>
          <w:i w:val="false"/>
          <w:color w:val="000000"/>
          <w:sz w:val="28"/>
        </w:rPr>
        <w:t>ресми</w:t>
      </w:r>
      <w:r>
        <w:rPr>
          <w:rFonts w:ascii="Times New Roman"/>
          <w:b/>
          <w:i w:val="false"/>
          <w:color w:val="000000"/>
          <w:sz w:val="28"/>
        </w:rPr>
        <w:t xml:space="preserve"> </w:t>
      </w:r>
      <w:r>
        <w:rPr>
          <w:rFonts w:ascii="Times New Roman"/>
          <w:b/>
          <w:i w:val="false"/>
          <w:color w:val="000000"/>
          <w:sz w:val="28"/>
        </w:rPr>
        <w:t>жарияланған</w:t>
      </w:r>
      <w:r>
        <w:rPr>
          <w:rFonts w:ascii="Times New Roman"/>
          <w:b/>
          <w:i w:val="false"/>
          <w:color w:val="000000"/>
          <w:sz w:val="28"/>
        </w:rPr>
        <w:t xml:space="preserve"> </w:t>
      </w:r>
      <w:r>
        <w:rPr>
          <w:rFonts w:ascii="Times New Roman"/>
          <w:b/>
          <w:i w:val="false"/>
          <w:color w:val="000000"/>
          <w:sz w:val="28"/>
        </w:rPr>
        <w:t>күнінен</w:t>
      </w:r>
      <w:r>
        <w:rPr>
          <w:rFonts w:ascii="Times New Roman"/>
          <w:b/>
          <w:i w:val="false"/>
          <w:color w:val="000000"/>
          <w:sz w:val="28"/>
        </w:rPr>
        <w:t xml:space="preserve"> </w:t>
      </w:r>
      <w:r>
        <w:rPr>
          <w:rFonts w:ascii="Times New Roman"/>
          <w:b/>
          <w:i w:val="false"/>
          <w:color w:val="000000"/>
          <w:sz w:val="28"/>
        </w:rPr>
        <w:t>кейін</w:t>
      </w:r>
      <w:r>
        <w:rPr>
          <w:rFonts w:ascii="Times New Roman"/>
          <w:b/>
          <w:i w:val="false"/>
          <w:color w:val="000000"/>
          <w:sz w:val="28"/>
        </w:rPr>
        <w:t xml:space="preserve"> </w:t>
      </w:r>
      <w:r>
        <w:rPr>
          <w:rFonts w:ascii="Times New Roman"/>
          <w:b/>
          <w:i w:val="false"/>
          <w:color w:val="000000"/>
          <w:sz w:val="28"/>
        </w:rPr>
        <w:t>күнтізбелік</w:t>
      </w:r>
      <w:r>
        <w:rPr>
          <w:rFonts w:ascii="Times New Roman"/>
          <w:b/>
          <w:i w:val="false"/>
          <w:color w:val="000000"/>
          <w:sz w:val="28"/>
        </w:rPr>
        <w:t xml:space="preserve"> он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өткен</w:t>
      </w:r>
      <w:r>
        <w:rPr>
          <w:rFonts w:ascii="Times New Roman"/>
          <w:b/>
          <w:i w:val="false"/>
          <w:color w:val="000000"/>
          <w:sz w:val="28"/>
        </w:rPr>
        <w:t xml:space="preserve"> </w:t>
      </w:r>
      <w:r>
        <w:rPr>
          <w:rFonts w:ascii="Times New Roman"/>
          <w:b/>
          <w:i w:val="false"/>
          <w:color w:val="000000"/>
          <w:sz w:val="28"/>
        </w:rPr>
        <w:t>соң</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