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41df" w14:textId="4c14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Риддера от 5 октября 2022 года № 942 "Об утверждении Правил предоставления коммунальных услуг по городу Риддеру"</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22 февраля 2024 года № 172</w:t>
      </w:r>
    </w:p>
    <w:p>
      <w:pPr>
        <w:spacing w:after="0"/>
        <w:ind w:left="0"/>
        <w:jc w:val="both"/>
      </w:pPr>
      <w:bookmarkStart w:name="z5" w:id="0"/>
      <w:r>
        <w:rPr>
          <w:rFonts w:ascii="Times New Roman"/>
          <w:b w:val="false"/>
          <w:i w:val="false"/>
          <w:color w:val="000000"/>
          <w:sz w:val="28"/>
        </w:rPr>
        <w:t>
      Акимат города Риддера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Риддера от 5 октября 2022 года № 942 "Об утверждении Правил предоставления коммунальных услуг по городу Риддеру"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по городу Риддеру,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3"/>
    <w:bookmarkStart w:name="z10"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1"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2"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3" w:id="7"/>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7"/>
    <w:bookmarkStart w:name="z14" w:id="8"/>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bookmarkEnd w:id="8"/>
    <w:bookmarkStart w:name="z15"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7"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8"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9"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1"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2"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3"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4" w:id="1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6" w:id="20"/>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20"/>
    <w:bookmarkStart w:name="z27"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9"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30"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2" w:id="26"/>
    <w:p>
      <w:pPr>
        <w:spacing w:after="0"/>
        <w:ind w:left="0"/>
        <w:jc w:val="both"/>
      </w:pPr>
      <w:r>
        <w:rPr>
          <w:rFonts w:ascii="Times New Roman"/>
          <w:b w:val="false"/>
          <w:i w:val="false"/>
          <w:color w:val="000000"/>
          <w:sz w:val="28"/>
        </w:rPr>
        <w:t xml:space="preserve">
      23) электроснабжение – деятельность по производству, передаче и продаже потребителям электрической энергии."; </w:t>
      </w:r>
    </w:p>
    <w:bookmarkEnd w:id="26"/>
    <w:bookmarkStart w:name="z33" w:id="27"/>
    <w:p>
      <w:pPr>
        <w:spacing w:after="0"/>
        <w:ind w:left="0"/>
        <w:jc w:val="both"/>
      </w:pPr>
      <w:r>
        <w:rPr>
          <w:rFonts w:ascii="Times New Roman"/>
          <w:b w:val="false"/>
          <w:i w:val="false"/>
          <w:color w:val="000000"/>
          <w:sz w:val="28"/>
        </w:rPr>
        <w:t xml:space="preserve">
      дополнить пунктом 3-1 следующего содержания </w:t>
      </w:r>
    </w:p>
    <w:bookmarkEnd w:id="27"/>
    <w:bookmarkStart w:name="z34"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6" w:id="2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9"/>
    <w:bookmarkStart w:name="z37"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8"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9"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40"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2"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3"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4"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46"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Восточно-Казахстанским областным маслихатом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50" w:id="3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52" w:id="40"/>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54"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bookmarkStart w:name="z55" w:id="42"/>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bookmarkEnd w:id="42"/>
    <w:bookmarkStart w:name="z56"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7"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8" w:id="45"/>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45"/>
    <w:bookmarkStart w:name="z59"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60"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1"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2"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3"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4"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5"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6"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bookmarkStart w:name="z67" w:id="54"/>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w:t>
      </w:r>
      <w:r>
        <w:rPr>
          <w:rFonts w:ascii="Times New Roman"/>
          <w:b w:val="false"/>
          <w:i w:val="false"/>
          <w:color w:val="000000"/>
          <w:sz w:val="28"/>
        </w:rPr>
        <w:t xml:space="preserve"> текст изложить в следующей редакции:</w:t>
      </w:r>
    </w:p>
    <w:bookmarkEnd w:id="54"/>
    <w:bookmarkStart w:name="z68" w:id="55"/>
    <w:p>
      <w:pPr>
        <w:spacing w:after="0"/>
        <w:ind w:left="0"/>
        <w:jc w:val="both"/>
      </w:pPr>
      <w:r>
        <w:rPr>
          <w:rFonts w:ascii="Times New Roman"/>
          <w:b w:val="false"/>
          <w:i w:val="false"/>
          <w:color w:val="000000"/>
          <w:sz w:val="28"/>
        </w:rPr>
        <w:t>
      "Приложение 1 к постановлению акимата города Риддера от 5 октября 2022 года № 942";</w:t>
      </w:r>
    </w:p>
    <w:bookmarkEnd w:id="55"/>
    <w:bookmarkStart w:name="z69" w:id="56"/>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6"/>
    <w:bookmarkStart w:name="z70" w:id="57"/>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Риддера.</w:t>
      </w:r>
    </w:p>
    <w:bookmarkEnd w:id="57"/>
    <w:bookmarkStart w:name="z71" w:id="5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"22" февраля 2024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5 октября 2022 года № 942</w:t>
            </w:r>
            <w:r>
              <w:br/>
            </w:r>
            <w:r>
              <w:rPr>
                <w:rFonts w:ascii="Times New Roman"/>
                <w:b w:val="false"/>
                <w:i w:val="false"/>
                <w:color w:val="000000"/>
                <w:sz w:val="20"/>
              </w:rPr>
              <w:t xml:space="preserve">Форма </w:t>
            </w:r>
          </w:p>
        </w:tc>
      </w:tr>
    </w:tbl>
    <w:bookmarkStart w:name="z75" w:id="59"/>
    <w:p>
      <w:pPr>
        <w:spacing w:after="0"/>
        <w:ind w:left="0"/>
        <w:jc w:val="left"/>
      </w:pPr>
      <w:r>
        <w:rPr>
          <w:rFonts w:ascii="Times New Roman"/>
          <w:b/>
          <w:i w:val="false"/>
          <w:color w:val="000000"/>
        </w:rPr>
        <w:t xml:space="preserve"> Бірыңғай төлем құжаты/Единый платежный документ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76" w:id="60"/>
    <w:p>
      <w:pPr>
        <w:spacing w:after="0"/>
        <w:ind w:left="0"/>
        <w:jc w:val="both"/>
      </w:pPr>
      <w:r>
        <w:rPr>
          <w:rFonts w:ascii="Times New Roman"/>
          <w:b w:val="false"/>
          <w:i w:val="false"/>
          <w:color w:val="000000"/>
          <w:sz w:val="28"/>
        </w:rPr>
        <w:t>
      Төлеу мерзімі " " жыл/Срок оплаты " " года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