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4656" w14:textId="7314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02 июля 2012 года N 153, решение Восточно-Казахстанского областного маслихата от 03 июля 2012 года № 4/65-V. Зарегистрировано Департаментом юстиции Восточно-Казахстанской области 02 августа 2012 года за N 2623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</w:t>
      </w:r>
      <w:r>
        <w:rPr>
          <w:rFonts w:ascii="Times New Roman"/>
          <w:b w:val="false"/>
          <w:i w:val="false"/>
          <w:color w:val="ff0000"/>
          <w:sz w:val="28"/>
        </w:rPr>
        <w:t>совместного постановления и 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редакции совместного постановления Восточно-Казахстанского областного акимата от 12.05.2023 № 99 и решения Восточно-Казахстанского областного маслихата от 31.05.2023 № 3/24-VIII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рационального использования земельных участков сельскохозяйственного назначения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12.05.2023 № 99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31.05.2023 № 3/24-VIII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 июля 2012 года № 153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2012 года № 4/65-V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12.05.2023 № 99 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31.05.2023 № 3/24-VIII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пределах одного административного района (города), которые могут находиться на праве частной собственности или на праве временного возмездного землепользования (аренды),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без иностранного участия и его аффилированных лиц для ведения сельско-хозяйственного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